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center"/>
        <w:rPr>
          <w:sz w:val="30"/>
          <w:szCs w:val="30"/>
        </w:rPr>
      </w:pPr>
      <w:r>
        <w:rPr>
          <w:w w:val="95"/>
          <w:sz w:val="30"/>
          <w:szCs w:val="30"/>
        </w:rPr>
        <w:t>上海</w:t>
      </w:r>
      <w:r>
        <w:rPr>
          <w:rFonts w:hint="eastAsia"/>
          <w:w w:val="95"/>
          <w:sz w:val="30"/>
          <w:szCs w:val="30"/>
        </w:rPr>
        <w:t>电机学院</w:t>
      </w:r>
      <w:r>
        <w:rPr>
          <w:rFonts w:ascii="Calibri" w:eastAsia="Calibri"/>
          <w:w w:val="95"/>
          <w:sz w:val="30"/>
          <w:szCs w:val="30"/>
        </w:rPr>
        <w:t>202</w:t>
      </w:r>
      <w:r>
        <w:rPr>
          <w:rFonts w:hint="eastAsia" w:ascii="Calibri"/>
          <w:w w:val="95"/>
          <w:sz w:val="30"/>
          <w:szCs w:val="30"/>
          <w:lang w:val="en-US" w:eastAsia="zh-CN"/>
        </w:rPr>
        <w:t>4</w:t>
      </w:r>
      <w:r>
        <w:rPr>
          <w:w w:val="95"/>
          <w:sz w:val="30"/>
          <w:szCs w:val="30"/>
        </w:rPr>
        <w:t>年非全日制硕士研究生管理信息告知</w:t>
      </w:r>
      <w:r>
        <w:rPr>
          <w:spacing w:val="-10"/>
          <w:w w:val="95"/>
          <w:sz w:val="30"/>
          <w:szCs w:val="30"/>
        </w:rPr>
        <w:t>书</w:t>
      </w:r>
    </w:p>
    <w:p>
      <w:pPr>
        <w:pStyle w:val="2"/>
        <w:spacing w:before="9"/>
        <w:ind w:left="0" w:firstLine="0"/>
        <w:rPr>
          <w:b/>
          <w:sz w:val="43"/>
        </w:rPr>
      </w:pPr>
    </w:p>
    <w:p>
      <w:pPr>
        <w:spacing w:line="345" w:lineRule="auto"/>
        <w:ind w:left="360" w:right="355" w:firstLine="480"/>
        <w:rPr>
          <w:sz w:val="24"/>
        </w:rPr>
      </w:pPr>
      <w:r>
        <w:rPr>
          <w:spacing w:val="-5"/>
          <w:sz w:val="24"/>
        </w:rPr>
        <w:t xml:space="preserve">同学你好！拟录取你为我校 </w:t>
      </w:r>
      <w:r>
        <w:rPr>
          <w:rFonts w:ascii="Calibri" w:eastAsia="Calibri"/>
          <w:sz w:val="24"/>
        </w:rPr>
        <w:t>202</w:t>
      </w:r>
      <w:r>
        <w:rPr>
          <w:rFonts w:hint="eastAsia" w:ascii="Calibri"/>
          <w:sz w:val="24"/>
          <w:lang w:val="en-US" w:eastAsia="zh-CN"/>
        </w:rPr>
        <w:t>4</w:t>
      </w:r>
      <w:r>
        <w:rPr>
          <w:sz w:val="24"/>
        </w:rPr>
        <w:t>年非全日制硕士研究生，我校有关非全日</w:t>
      </w:r>
      <w:r>
        <w:rPr>
          <w:spacing w:val="-2"/>
          <w:sz w:val="24"/>
        </w:rPr>
        <w:t>制硕士研究生</w:t>
      </w:r>
      <w:r>
        <w:rPr>
          <w:rFonts w:hint="eastAsia"/>
          <w:spacing w:val="-2"/>
          <w:sz w:val="24"/>
        </w:rPr>
        <w:t>管理</w:t>
      </w:r>
      <w:r>
        <w:rPr>
          <w:spacing w:val="-2"/>
          <w:sz w:val="24"/>
        </w:rPr>
        <w:t>相关信息告知如下：</w:t>
      </w:r>
    </w:p>
    <w:p>
      <w:pPr>
        <w:spacing w:after="20" w:line="303" w:lineRule="exact"/>
        <w:ind w:left="840"/>
        <w:rPr>
          <w:sz w:val="24"/>
        </w:rPr>
      </w:pPr>
      <w:r>
        <w:rPr>
          <w:rFonts w:ascii="Calibri" w:eastAsia="Calibri"/>
          <w:spacing w:val="-2"/>
          <w:sz w:val="24"/>
        </w:rPr>
        <w:t>1</w:t>
      </w:r>
      <w:r>
        <w:rPr>
          <w:spacing w:val="-4"/>
          <w:sz w:val="24"/>
        </w:rPr>
        <w:t>、学费、学制</w:t>
      </w:r>
    </w:p>
    <w:tbl>
      <w:tblPr>
        <w:tblStyle w:val="6"/>
        <w:tblW w:w="0" w:type="auto"/>
        <w:tblInd w:w="6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98"/>
        <w:gridCol w:w="1464"/>
        <w:gridCol w:w="1543"/>
        <w:gridCol w:w="16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24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学院名称</w:t>
            </w:r>
          </w:p>
        </w:tc>
        <w:tc>
          <w:tcPr>
            <w:tcW w:w="1498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专业名称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专业代码</w:t>
            </w:r>
          </w:p>
        </w:tc>
        <w:tc>
          <w:tcPr>
            <w:tcW w:w="1543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学制（年）</w:t>
            </w:r>
          </w:p>
        </w:tc>
        <w:tc>
          <w:tcPr>
            <w:tcW w:w="1629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学费（元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/年</w:t>
            </w:r>
            <w:r>
              <w:rPr>
                <w:rFonts w:asciiTheme="minorEastAsia" w:hAnsiTheme="minorEastAsia" w:eastAsiaTheme="minorEastAsia"/>
                <w:b/>
                <w:bCs/>
                <w:spacing w:val="-3"/>
                <w:w w:val="95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4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spacing w:val="-3"/>
                <w:w w:val="9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</w:rPr>
              <w:t>机械学院</w:t>
            </w:r>
          </w:p>
        </w:tc>
        <w:tc>
          <w:tcPr>
            <w:tcW w:w="1498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spacing w:val="-3"/>
                <w:w w:val="9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</w:rPr>
              <w:t>智能制造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spacing w:val="-3"/>
                <w:w w:val="95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3"/>
                <w:w w:val="95"/>
                <w:sz w:val="21"/>
                <w:szCs w:val="21"/>
              </w:rPr>
              <w:t>085411</w:t>
            </w:r>
          </w:p>
        </w:tc>
        <w:tc>
          <w:tcPr>
            <w:tcW w:w="1543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spacing w:val="-3"/>
                <w:w w:val="9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</w:rPr>
              <w:t>3</w:t>
            </w:r>
          </w:p>
        </w:tc>
        <w:tc>
          <w:tcPr>
            <w:tcW w:w="1629" w:type="dxa"/>
          </w:tcPr>
          <w:p>
            <w:pPr>
              <w:pStyle w:val="10"/>
              <w:spacing w:before="1"/>
              <w:jc w:val="center"/>
              <w:rPr>
                <w:rFonts w:asciiTheme="minorEastAsia" w:hAnsiTheme="minorEastAsia" w:eastAsiaTheme="minorEastAsia"/>
                <w:spacing w:val="-3"/>
                <w:w w:val="9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4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电气学院</w:t>
            </w:r>
          </w:p>
        </w:tc>
        <w:tc>
          <w:tcPr>
            <w:tcW w:w="1498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电气工程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085801</w:t>
            </w:r>
          </w:p>
        </w:tc>
        <w:tc>
          <w:tcPr>
            <w:tcW w:w="1543" w:type="dxa"/>
          </w:tcPr>
          <w:p>
            <w:pPr>
              <w:pStyle w:val="10"/>
              <w:spacing w:before="1"/>
              <w:jc w:val="center"/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9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4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电子信息学院</w:t>
            </w:r>
          </w:p>
        </w:tc>
        <w:tc>
          <w:tcPr>
            <w:tcW w:w="1498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电子信息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085400</w:t>
            </w:r>
          </w:p>
        </w:tc>
        <w:tc>
          <w:tcPr>
            <w:tcW w:w="1543" w:type="dxa"/>
          </w:tcPr>
          <w:p>
            <w:pPr>
              <w:pStyle w:val="10"/>
              <w:spacing w:before="1"/>
              <w:jc w:val="center"/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9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24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1498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国际商务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025400</w:t>
            </w:r>
          </w:p>
        </w:tc>
        <w:tc>
          <w:tcPr>
            <w:tcW w:w="1543" w:type="dxa"/>
          </w:tcPr>
          <w:p>
            <w:pPr>
              <w:pStyle w:val="10"/>
              <w:spacing w:before="1"/>
              <w:jc w:val="center"/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9" w:type="dxa"/>
          </w:tcPr>
          <w:p>
            <w:pPr>
              <w:pStyle w:val="10"/>
              <w:spacing w:before="1"/>
              <w:jc w:val="center"/>
              <w:rPr>
                <w:rFonts w:hint="default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3"/>
                <w:w w:val="95"/>
                <w:sz w:val="21"/>
                <w:szCs w:val="21"/>
                <w:lang w:val="en-US" w:eastAsia="zh-CN"/>
              </w:rPr>
              <w:t>30000</w:t>
            </w:r>
          </w:p>
        </w:tc>
      </w:tr>
    </w:tbl>
    <w:p>
      <w:pPr>
        <w:spacing w:before="113" w:line="345" w:lineRule="auto"/>
        <w:ind w:left="360" w:right="357" w:firstLine="480"/>
        <w:rPr>
          <w:sz w:val="24"/>
        </w:rPr>
      </w:pPr>
      <w:r>
        <w:rPr>
          <w:rFonts w:ascii="Calibri" w:hAnsi="Calibri" w:eastAsia="Calibri"/>
          <w:spacing w:val="-4"/>
          <w:sz w:val="24"/>
        </w:rPr>
        <w:t>2</w:t>
      </w:r>
      <w:r>
        <w:rPr>
          <w:spacing w:val="-7"/>
          <w:sz w:val="24"/>
        </w:rPr>
        <w:t>、其他相关管理规定详见附件“上海</w:t>
      </w:r>
      <w:r>
        <w:rPr>
          <w:rFonts w:hint="eastAsia"/>
          <w:spacing w:val="-7"/>
          <w:sz w:val="24"/>
        </w:rPr>
        <w:t>电机学院</w:t>
      </w:r>
      <w:r>
        <w:rPr>
          <w:spacing w:val="-4"/>
          <w:sz w:val="24"/>
        </w:rPr>
        <w:t>202</w:t>
      </w:r>
      <w:r>
        <w:rPr>
          <w:rFonts w:hint="eastAsia"/>
          <w:spacing w:val="-4"/>
          <w:sz w:val="24"/>
          <w:lang w:val="en-US" w:eastAsia="zh-CN"/>
        </w:rPr>
        <w:t>4</w:t>
      </w:r>
      <w:r>
        <w:rPr>
          <w:spacing w:val="-13"/>
          <w:sz w:val="24"/>
        </w:rPr>
        <w:t>年非全日制硕士研究生相关政策说明”。</w:t>
      </w:r>
    </w:p>
    <w:p>
      <w:pPr>
        <w:spacing w:line="303" w:lineRule="exact"/>
        <w:ind w:left="840"/>
        <w:rPr>
          <w:sz w:val="24"/>
        </w:rPr>
      </w:pPr>
      <w:r>
        <w:rPr>
          <w:rFonts w:ascii="Calibri" w:eastAsia="Calibri"/>
          <w:spacing w:val="-2"/>
          <w:sz w:val="24"/>
        </w:rPr>
        <w:t>3</w:t>
      </w:r>
      <w:r>
        <w:rPr>
          <w:spacing w:val="-3"/>
          <w:sz w:val="24"/>
        </w:rPr>
        <w:t>、本告知书一式两份，学生和学生所在二级学院各持一份。</w:t>
      </w:r>
    </w:p>
    <w:p>
      <w:pPr>
        <w:pStyle w:val="2"/>
        <w:ind w:left="0" w:firstLine="0"/>
        <w:rPr>
          <w:sz w:val="26"/>
        </w:rPr>
      </w:pPr>
    </w:p>
    <w:p>
      <w:pPr>
        <w:pStyle w:val="2"/>
        <w:spacing w:before="9"/>
        <w:ind w:left="0" w:firstLine="0"/>
        <w:rPr>
          <w:sz w:val="18"/>
        </w:rPr>
      </w:pPr>
    </w:p>
    <w:p>
      <w:pPr>
        <w:tabs>
          <w:tab w:val="left" w:pos="4619"/>
        </w:tabs>
        <w:spacing w:line="343" w:lineRule="auto"/>
        <w:ind w:right="925" w:firstLine="474" w:firstLineChars="200"/>
        <w:rPr>
          <w:spacing w:val="-2"/>
          <w:sz w:val="24"/>
        </w:rPr>
      </w:pPr>
      <w:r>
        <w:rPr>
          <w:b/>
          <w:bCs/>
          <w:spacing w:val="-2"/>
          <w:sz w:val="24"/>
        </w:rPr>
        <w:t>本人已认真阅读该告知书，并将按要求履行职责和义务。</w:t>
      </w:r>
    </w:p>
    <w:p>
      <w:pPr>
        <w:tabs>
          <w:tab w:val="left" w:pos="4619"/>
        </w:tabs>
        <w:spacing w:line="343" w:lineRule="auto"/>
        <w:ind w:right="925" w:firstLine="472" w:firstLineChars="200"/>
        <w:rPr>
          <w:sz w:val="24"/>
        </w:rPr>
      </w:pPr>
      <w:r>
        <w:rPr>
          <w:spacing w:val="-2"/>
          <w:sz w:val="24"/>
        </w:rPr>
        <w:t>学生签名：</w:t>
      </w:r>
      <w:r>
        <w:rPr>
          <w:rFonts w:hint="eastAsia"/>
          <w:spacing w:val="-2"/>
          <w:sz w:val="24"/>
        </w:rPr>
        <w:t xml:space="preserve">                </w:t>
      </w:r>
      <w:r>
        <w:rPr>
          <w:spacing w:val="-2"/>
          <w:sz w:val="24"/>
        </w:rPr>
        <w:t>学生身份证号：</w:t>
      </w:r>
    </w:p>
    <w:p>
      <w:pPr>
        <w:spacing w:line="306" w:lineRule="exact"/>
        <w:ind w:firstLine="472" w:firstLineChars="200"/>
        <w:rPr>
          <w:sz w:val="24"/>
        </w:rPr>
      </w:pPr>
      <w:r>
        <w:rPr>
          <w:spacing w:val="-2"/>
          <w:sz w:val="24"/>
        </w:rPr>
        <w:t>拟录取专业：</w:t>
      </w:r>
    </w:p>
    <w:p>
      <w:pPr>
        <w:tabs>
          <w:tab w:val="left" w:pos="4624"/>
          <w:tab w:val="left" w:pos="5344"/>
        </w:tabs>
        <w:spacing w:before="134"/>
        <w:ind w:firstLine="480" w:firstLineChars="200"/>
        <w:rPr>
          <w:sz w:val="24"/>
        </w:rPr>
      </w:pPr>
      <w:r>
        <w:rPr>
          <w:sz w:val="24"/>
        </w:rPr>
        <w:t>签字日期：</w:t>
      </w:r>
      <w:r>
        <w:rPr>
          <w:rFonts w:hint="eastAsia"/>
          <w:sz w:val="24"/>
        </w:rPr>
        <w:t xml:space="preserve"> </w:t>
      </w:r>
      <w:r>
        <w:rPr>
          <w:rFonts w:ascii="Calibri" w:eastAsia="Calibri"/>
          <w:sz w:val="24"/>
        </w:rPr>
        <w:t>202</w:t>
      </w:r>
      <w:r>
        <w:rPr>
          <w:rFonts w:hint="eastAsia" w:ascii="Calibri"/>
          <w:sz w:val="24"/>
          <w:lang w:val="en-US" w:eastAsia="zh-CN"/>
        </w:rPr>
        <w:t>4</w:t>
      </w:r>
      <w:r>
        <w:rPr>
          <w:rFonts w:ascii="Calibri" w:eastAsia="Calibri"/>
          <w:spacing w:val="2"/>
          <w:sz w:val="24"/>
        </w:rPr>
        <w:t xml:space="preserve"> </w:t>
      </w:r>
      <w:r>
        <w:rPr>
          <w:rFonts w:hint="eastAsia" w:ascii="Calibri"/>
          <w:spacing w:val="2"/>
          <w:sz w:val="24"/>
        </w:rPr>
        <w:t xml:space="preserve">  </w:t>
      </w:r>
      <w:r>
        <w:rPr>
          <w:spacing w:val="-10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spacing w:val="-10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spacing w:val="-10"/>
          <w:sz w:val="24"/>
        </w:rPr>
        <w:t>日</w:t>
      </w:r>
    </w:p>
    <w:p>
      <w:pPr>
        <w:pStyle w:val="2"/>
        <w:ind w:left="0" w:firstLine="0"/>
        <w:rPr>
          <w:sz w:val="20"/>
        </w:rPr>
      </w:pPr>
    </w:p>
    <w:p>
      <w:pPr>
        <w:pStyle w:val="2"/>
        <w:spacing w:before="5"/>
        <w:ind w:left="0" w:firstLine="0"/>
        <w:rPr>
          <w:sz w:val="19"/>
        </w:rPr>
      </w:pPr>
    </w:p>
    <w:p>
      <w:pPr>
        <w:spacing w:before="67"/>
        <w:ind w:left="360"/>
        <w:rPr>
          <w:sz w:val="24"/>
        </w:rPr>
      </w:pPr>
      <w:r>
        <w:rPr>
          <w:spacing w:val="-5"/>
          <w:sz w:val="24"/>
        </w:rPr>
        <w:t>附：</w:t>
      </w:r>
    </w:p>
    <w:p>
      <w:pPr>
        <w:spacing w:before="130"/>
        <w:ind w:left="1939"/>
        <w:rPr>
          <w:b/>
          <w:sz w:val="21"/>
        </w:rPr>
      </w:pPr>
      <w:r>
        <w:rPr>
          <w:b/>
          <w:w w:val="95"/>
          <w:sz w:val="21"/>
        </w:rPr>
        <w:t>上海</w:t>
      </w:r>
      <w:r>
        <w:rPr>
          <w:rFonts w:hint="eastAsia"/>
          <w:b/>
          <w:w w:val="95"/>
          <w:sz w:val="21"/>
        </w:rPr>
        <w:t>电机学院</w:t>
      </w:r>
      <w:r>
        <w:rPr>
          <w:b/>
          <w:w w:val="95"/>
          <w:sz w:val="21"/>
        </w:rPr>
        <w:t>202</w:t>
      </w:r>
      <w:r>
        <w:rPr>
          <w:rFonts w:hint="eastAsia"/>
          <w:b/>
          <w:w w:val="95"/>
          <w:sz w:val="21"/>
          <w:lang w:val="en-US" w:eastAsia="zh-CN"/>
        </w:rPr>
        <w:t>4</w:t>
      </w:r>
      <w:r>
        <w:rPr>
          <w:b/>
          <w:w w:val="95"/>
          <w:sz w:val="21"/>
        </w:rPr>
        <w:t>年非全日制硕士研究生相关政策说</w:t>
      </w:r>
      <w:r>
        <w:rPr>
          <w:b/>
          <w:spacing w:val="-10"/>
          <w:w w:val="95"/>
          <w:sz w:val="21"/>
        </w:rPr>
        <w:t>明</w:t>
      </w:r>
    </w:p>
    <w:p>
      <w:pPr>
        <w:pStyle w:val="2"/>
        <w:spacing w:before="132"/>
        <w:ind w:left="780" w:firstLine="0"/>
      </w:pPr>
      <w:r>
        <w:rPr>
          <w:spacing w:val="-1"/>
          <w:w w:val="95"/>
        </w:rPr>
        <w:t>上海</w:t>
      </w:r>
      <w:r>
        <w:rPr>
          <w:rFonts w:hint="eastAsia"/>
          <w:spacing w:val="-1"/>
          <w:w w:val="95"/>
        </w:rPr>
        <w:t>电机学院</w:t>
      </w:r>
      <w:r>
        <w:rPr>
          <w:spacing w:val="-1"/>
          <w:w w:val="95"/>
        </w:rPr>
        <w:t>非全日制研究生相关管理规定和政策说明如下：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before="129"/>
        <w:ind w:right="0"/>
        <w:rPr>
          <w:sz w:val="21"/>
        </w:rPr>
      </w:pPr>
      <w:r>
        <w:rPr>
          <w:spacing w:val="-1"/>
          <w:w w:val="95"/>
          <w:sz w:val="21"/>
        </w:rPr>
        <w:t>非全日制研究生在学期间须遵守国家及学校的相关管理规定。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before="132"/>
        <w:ind w:right="0"/>
        <w:rPr>
          <w:sz w:val="21"/>
        </w:rPr>
      </w:pPr>
      <w:r>
        <w:rPr>
          <w:b/>
          <w:w w:val="95"/>
          <w:sz w:val="21"/>
        </w:rPr>
        <w:t>学习形式：</w:t>
      </w:r>
      <w:r>
        <w:rPr>
          <w:spacing w:val="-1"/>
          <w:w w:val="95"/>
          <w:sz w:val="21"/>
        </w:rPr>
        <w:t>周末上课，课程学习与专业实践相结合。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before="132"/>
        <w:ind w:right="0"/>
        <w:rPr>
          <w:sz w:val="21"/>
        </w:rPr>
      </w:pPr>
      <w:r>
        <w:rPr>
          <w:b/>
          <w:w w:val="95"/>
          <w:sz w:val="21"/>
        </w:rPr>
        <w:t>授课地点：</w:t>
      </w:r>
      <w:r>
        <w:rPr>
          <w:w w:val="95"/>
          <w:sz w:val="21"/>
        </w:rPr>
        <w:t>上海</w:t>
      </w:r>
      <w:r>
        <w:rPr>
          <w:rFonts w:hint="eastAsia"/>
          <w:w w:val="95"/>
          <w:sz w:val="21"/>
        </w:rPr>
        <w:t>电机学院临港</w:t>
      </w:r>
      <w:r>
        <w:rPr>
          <w:w w:val="95"/>
          <w:sz w:val="21"/>
        </w:rPr>
        <w:t>校区（</w:t>
      </w:r>
      <w:r>
        <w:rPr>
          <w:rFonts w:hint="eastAsia"/>
          <w:w w:val="95"/>
          <w:sz w:val="21"/>
        </w:rPr>
        <w:t>上海市浦东新区水华路300</w:t>
      </w:r>
      <w:r>
        <w:rPr>
          <w:w w:val="95"/>
          <w:sz w:val="21"/>
        </w:rPr>
        <w:t>号</w:t>
      </w:r>
      <w:r>
        <w:rPr>
          <w:spacing w:val="-104"/>
          <w:w w:val="95"/>
          <w:sz w:val="21"/>
        </w:rPr>
        <w:t>）</w:t>
      </w:r>
      <w:r>
        <w:rPr>
          <w:spacing w:val="-10"/>
          <w:w w:val="95"/>
          <w:sz w:val="21"/>
        </w:rPr>
        <w:t>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before="129" w:line="357" w:lineRule="auto"/>
        <w:ind w:left="784" w:right="357" w:hanging="425"/>
        <w:rPr>
          <w:spacing w:val="-1"/>
          <w:w w:val="95"/>
          <w:sz w:val="21"/>
        </w:rPr>
      </w:pPr>
      <w:r>
        <w:rPr>
          <w:b/>
          <w:spacing w:val="-9"/>
          <w:w w:val="99"/>
          <w:sz w:val="21"/>
        </w:rPr>
        <w:t>实习实践：</w:t>
      </w:r>
      <w:r>
        <w:rPr>
          <w:spacing w:val="-1"/>
          <w:w w:val="95"/>
          <w:sz w:val="21"/>
        </w:rPr>
        <w:t>非全日制研究生实习实践单位由研究生自行联系，并按学校要求完成专业实践考核。</w:t>
      </w:r>
    </w:p>
    <w:p>
      <w:pPr>
        <w:pStyle w:val="9"/>
        <w:numPr>
          <w:ilvl w:val="0"/>
          <w:numId w:val="1"/>
        </w:numPr>
        <w:tabs>
          <w:tab w:val="left" w:pos="780"/>
        </w:tabs>
        <w:ind w:right="0"/>
        <w:rPr>
          <w:spacing w:val="-1"/>
          <w:w w:val="95"/>
          <w:sz w:val="21"/>
        </w:rPr>
      </w:pPr>
      <w:r>
        <w:rPr>
          <w:spacing w:val="-1"/>
          <w:w w:val="95"/>
          <w:sz w:val="21"/>
        </w:rPr>
        <w:t>非全日制研究生原则上只招收在职定向就业人员，须在规定时间内签订</w:t>
      </w:r>
      <w:r>
        <w:rPr>
          <w:rFonts w:hint="eastAsia"/>
          <w:spacing w:val="-1"/>
          <w:w w:val="95"/>
          <w:sz w:val="21"/>
        </w:rPr>
        <w:t>培养定向就业硕士研究生协议书</w:t>
      </w:r>
      <w:r>
        <w:rPr>
          <w:spacing w:val="-1"/>
          <w:w w:val="95"/>
          <w:sz w:val="21"/>
        </w:rPr>
        <w:t>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before="129" w:line="357" w:lineRule="auto"/>
        <w:ind w:left="784" w:right="352" w:hanging="425"/>
        <w:jc w:val="both"/>
        <w:rPr>
          <w:w w:val="95"/>
          <w:sz w:val="21"/>
          <w:u w:val="single"/>
        </w:rPr>
      </w:pPr>
      <w:r>
        <w:rPr>
          <w:b/>
          <w:w w:val="95"/>
          <w:sz w:val="21"/>
        </w:rPr>
        <w:t>住宿：</w:t>
      </w:r>
      <w:r>
        <w:rPr>
          <w:w w:val="95"/>
          <w:sz w:val="21"/>
        </w:rPr>
        <w:t>非全日制研究生不安排宿舍。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hanging="425"/>
        <w:jc w:val="both"/>
        <w:rPr>
          <w:sz w:val="21"/>
        </w:rPr>
      </w:pPr>
      <w:r>
        <w:rPr>
          <w:b/>
          <w:spacing w:val="-8"/>
          <w:w w:val="99"/>
          <w:sz w:val="21"/>
        </w:rPr>
        <w:t>学籍：</w:t>
      </w:r>
      <w:r>
        <w:rPr>
          <w:spacing w:val="-5"/>
          <w:w w:val="99"/>
          <w:sz w:val="21"/>
        </w:rPr>
        <w:t>非全日制研究生和全日制研究生</w:t>
      </w:r>
      <w:r>
        <w:rPr>
          <w:rFonts w:hint="eastAsia"/>
          <w:spacing w:val="-5"/>
          <w:w w:val="99"/>
          <w:sz w:val="21"/>
        </w:rPr>
        <w:t>相同</w:t>
      </w:r>
      <w:r>
        <w:rPr>
          <w:spacing w:val="-5"/>
          <w:w w:val="99"/>
          <w:sz w:val="21"/>
        </w:rPr>
        <w:t>，都</w:t>
      </w:r>
      <w:r>
        <w:rPr>
          <w:rFonts w:hint="eastAsia"/>
          <w:spacing w:val="-5"/>
          <w:w w:val="99"/>
          <w:sz w:val="21"/>
        </w:rPr>
        <w:t>具</w:t>
      </w:r>
      <w:r>
        <w:rPr>
          <w:spacing w:val="-5"/>
          <w:w w:val="99"/>
          <w:sz w:val="21"/>
        </w:rPr>
        <w:t>有</w:t>
      </w:r>
      <w:r>
        <w:rPr>
          <w:rFonts w:hint="eastAsia"/>
          <w:spacing w:val="-5"/>
          <w:w w:val="99"/>
          <w:sz w:val="21"/>
        </w:rPr>
        <w:t>上海电机学院</w:t>
      </w:r>
      <w:r>
        <w:rPr>
          <w:spacing w:val="-5"/>
          <w:w w:val="99"/>
          <w:sz w:val="21"/>
        </w:rPr>
        <w:t>学籍。学校根据《普通高等学校学生</w:t>
      </w:r>
      <w:r>
        <w:rPr>
          <w:spacing w:val="1"/>
          <w:w w:val="99"/>
          <w:sz w:val="21"/>
        </w:rPr>
        <w:t>管理规定》及学校的学籍管理规定对非全日制研究生进行管理，按培养方案对非全日</w:t>
      </w:r>
      <w:r>
        <w:rPr>
          <w:spacing w:val="-1"/>
          <w:w w:val="99"/>
          <w:sz w:val="21"/>
        </w:rPr>
        <w:t>制研究生进行培养。</w:t>
      </w:r>
    </w:p>
    <w:p>
      <w:pPr>
        <w:spacing w:line="357" w:lineRule="auto"/>
        <w:jc w:val="both"/>
        <w:rPr>
          <w:sz w:val="21"/>
        </w:rPr>
        <w:sectPr>
          <w:footerReference r:id="rId3" w:type="default"/>
          <w:type w:val="continuous"/>
          <w:pgSz w:w="11910" w:h="16840"/>
          <w:pgMar w:top="1460" w:right="1440" w:bottom="1160" w:left="1440" w:header="0" w:footer="975" w:gutter="0"/>
          <w:pgNumType w:start="1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780"/>
        </w:tabs>
        <w:spacing w:before="52" w:line="357" w:lineRule="auto"/>
        <w:ind w:left="784" w:right="356" w:hanging="425"/>
        <w:jc w:val="both"/>
        <w:rPr>
          <w:sz w:val="21"/>
        </w:rPr>
      </w:pPr>
      <w:r>
        <w:rPr>
          <w:b/>
          <w:spacing w:val="-6"/>
          <w:w w:val="99"/>
          <w:sz w:val="21"/>
        </w:rPr>
        <w:t>导师指导：</w:t>
      </w:r>
      <w:r>
        <w:rPr>
          <w:spacing w:val="-4"/>
          <w:w w:val="99"/>
          <w:sz w:val="21"/>
        </w:rPr>
        <w:t>专业学位研究生实行双导师制。非全日制研究生</w:t>
      </w:r>
      <w:r>
        <w:rPr>
          <w:spacing w:val="-53"/>
          <w:sz w:val="21"/>
        </w:rPr>
        <w:t xml:space="preserve"> </w:t>
      </w:r>
      <w:r>
        <w:rPr>
          <w:w w:val="99"/>
          <w:sz w:val="21"/>
        </w:rPr>
        <w:t>9</w:t>
      </w:r>
      <w:r>
        <w:rPr>
          <w:spacing w:val="-52"/>
          <w:sz w:val="21"/>
        </w:rPr>
        <w:t xml:space="preserve"> </w:t>
      </w:r>
      <w:r>
        <w:rPr>
          <w:spacing w:val="-5"/>
          <w:w w:val="99"/>
          <w:sz w:val="21"/>
        </w:rPr>
        <w:t>月份入学注册后，通过导</w:t>
      </w:r>
      <w:r>
        <w:rPr>
          <w:spacing w:val="-7"/>
          <w:w w:val="99"/>
          <w:sz w:val="21"/>
        </w:rPr>
        <w:t>师和研究生双向选择制度确定校内导师，非全日制研究生和全日制研究生共享校内研究</w:t>
      </w:r>
      <w:r>
        <w:rPr>
          <w:spacing w:val="-1"/>
          <w:w w:val="99"/>
          <w:sz w:val="21"/>
        </w:rPr>
        <w:t>生导师。</w:t>
      </w:r>
      <w:r>
        <w:rPr>
          <w:spacing w:val="-1"/>
          <w:w w:val="99"/>
          <w:sz w:val="21"/>
          <w:u w:val="single"/>
        </w:rPr>
        <w:t>校外导师由学生自行选定并报学校备案。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right="350" w:hanging="425"/>
        <w:jc w:val="both"/>
        <w:rPr>
          <w:sz w:val="21"/>
        </w:rPr>
      </w:pPr>
      <w:r>
        <w:rPr>
          <w:b/>
          <w:spacing w:val="-4"/>
          <w:w w:val="99"/>
          <w:sz w:val="21"/>
        </w:rPr>
        <w:t>培养方案和课程教学：</w:t>
      </w:r>
      <w:r>
        <w:rPr>
          <w:spacing w:val="-3"/>
          <w:w w:val="99"/>
          <w:sz w:val="21"/>
        </w:rPr>
        <w:t>非全日制和全日制研究生的培养原则上实行同一套培养方案，坚</w:t>
      </w:r>
      <w:r>
        <w:rPr>
          <w:spacing w:val="-1"/>
          <w:w w:val="99"/>
          <w:sz w:val="21"/>
        </w:rPr>
        <w:t>持同一培养质量标准。课程教学与全日制研究生共享师资资源。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right="350" w:hanging="425"/>
        <w:jc w:val="both"/>
        <w:rPr>
          <w:sz w:val="21"/>
        </w:rPr>
      </w:pPr>
      <w:r>
        <w:rPr>
          <w:b/>
          <w:spacing w:val="-4"/>
          <w:w w:val="99"/>
          <w:sz w:val="21"/>
        </w:rPr>
        <w:t>毕业证书和学位证书：</w:t>
      </w:r>
      <w:r>
        <w:rPr>
          <w:spacing w:val="-7"/>
          <w:w w:val="99"/>
          <w:sz w:val="21"/>
        </w:rPr>
        <w:t>根据国家文件规定，非全日制研究生达到学校规定的毕业和学位授予要求，发放毕业证书</w:t>
      </w:r>
      <w:r>
        <w:rPr>
          <w:spacing w:val="-1"/>
          <w:w w:val="99"/>
          <w:sz w:val="21"/>
        </w:rPr>
        <w:t>（证书注明学习方式</w:t>
      </w:r>
      <w:r>
        <w:rPr>
          <w:spacing w:val="-25"/>
          <w:w w:val="99"/>
          <w:sz w:val="21"/>
        </w:rPr>
        <w:t>）</w:t>
      </w:r>
      <w:r>
        <w:rPr>
          <w:spacing w:val="-4"/>
          <w:w w:val="99"/>
          <w:sz w:val="21"/>
        </w:rPr>
        <w:t>和学位证书，学历学位证书和全日制研</w:t>
      </w:r>
      <w:r>
        <w:rPr>
          <w:spacing w:val="-1"/>
          <w:w w:val="99"/>
          <w:sz w:val="21"/>
        </w:rPr>
        <w:t>究生证书具有同等法律地位和相同效力。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hanging="425"/>
        <w:jc w:val="both"/>
        <w:rPr>
          <w:sz w:val="21"/>
        </w:rPr>
      </w:pPr>
      <w:r>
        <w:rPr>
          <w:b/>
          <w:spacing w:val="-6"/>
          <w:w w:val="99"/>
          <w:sz w:val="21"/>
        </w:rPr>
        <w:t>奖助政策：</w:t>
      </w:r>
      <w:r>
        <w:rPr>
          <w:spacing w:val="-5"/>
          <w:w w:val="99"/>
          <w:sz w:val="21"/>
        </w:rPr>
        <w:t>根据国家有关文件规定，非全日制研究生在学期间不享受国家奖、助学金和</w:t>
      </w:r>
      <w:r>
        <w:rPr>
          <w:spacing w:val="-1"/>
          <w:w w:val="99"/>
          <w:sz w:val="21"/>
        </w:rPr>
        <w:t>学业奖学金等评选资格。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5" w:lineRule="auto"/>
        <w:ind w:left="784" w:hanging="425"/>
        <w:jc w:val="both"/>
        <w:rPr>
          <w:sz w:val="21"/>
        </w:rPr>
      </w:pPr>
      <w:r>
        <w:rPr>
          <w:b/>
          <w:spacing w:val="-3"/>
          <w:w w:val="99"/>
          <w:sz w:val="21"/>
        </w:rPr>
        <w:t>档案户口：</w:t>
      </w:r>
      <w:r>
        <w:rPr>
          <w:spacing w:val="-6"/>
          <w:w w:val="99"/>
          <w:sz w:val="21"/>
        </w:rPr>
        <w:t>培养期间，非全日制研究生的户口、人事档案及党</w:t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团</w:t>
      </w:r>
      <w:r>
        <w:rPr>
          <w:spacing w:val="-20"/>
          <w:w w:val="99"/>
          <w:sz w:val="21"/>
        </w:rPr>
        <w:t>）</w:t>
      </w:r>
      <w:r>
        <w:rPr>
          <w:spacing w:val="-1"/>
          <w:w w:val="99"/>
          <w:sz w:val="21"/>
        </w:rPr>
        <w:t>组织关系不转入到</w:t>
      </w:r>
      <w:r>
        <w:rPr>
          <w:w w:val="99"/>
          <w:sz w:val="21"/>
        </w:rPr>
        <w:t>学校。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hanging="425"/>
        <w:jc w:val="both"/>
        <w:rPr>
          <w:sz w:val="21"/>
        </w:rPr>
      </w:pPr>
      <w:r>
        <w:rPr>
          <w:b/>
          <w:spacing w:val="-8"/>
          <w:w w:val="99"/>
          <w:sz w:val="21"/>
        </w:rPr>
        <w:t>保险：</w:t>
      </w:r>
      <w:r>
        <w:rPr>
          <w:spacing w:val="-3"/>
          <w:w w:val="99"/>
          <w:sz w:val="21"/>
        </w:rPr>
        <w:t>非全日制研究生不能购买上海市城镇居民</w:t>
      </w:r>
      <w:r>
        <w:rPr>
          <w:spacing w:val="-1"/>
          <w:w w:val="99"/>
          <w:sz w:val="21"/>
        </w:rPr>
        <w:t>（</w:t>
      </w:r>
      <w:r>
        <w:rPr>
          <w:w w:val="99"/>
          <w:sz w:val="21"/>
        </w:rPr>
        <w:t>大学生</w:t>
      </w:r>
      <w:r>
        <w:rPr>
          <w:spacing w:val="-25"/>
          <w:w w:val="99"/>
          <w:sz w:val="21"/>
        </w:rPr>
        <w:t>）</w:t>
      </w:r>
      <w:r>
        <w:rPr>
          <w:spacing w:val="-4"/>
          <w:w w:val="99"/>
          <w:sz w:val="21"/>
        </w:rPr>
        <w:t>基本医疗保险，可自行购买</w:t>
      </w:r>
      <w:r>
        <w:rPr>
          <w:spacing w:val="-1"/>
          <w:w w:val="99"/>
          <w:sz w:val="21"/>
        </w:rPr>
        <w:t>商业保险。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hanging="425"/>
        <w:jc w:val="both"/>
        <w:rPr>
          <w:sz w:val="21"/>
        </w:rPr>
      </w:pPr>
      <w:r>
        <w:rPr>
          <w:b/>
          <w:spacing w:val="-6"/>
          <w:w w:val="99"/>
          <w:sz w:val="21"/>
        </w:rPr>
        <w:t>国际交流：</w:t>
      </w:r>
      <w:r>
        <w:rPr>
          <w:spacing w:val="-5"/>
          <w:w w:val="99"/>
          <w:sz w:val="21"/>
        </w:rPr>
        <w:t>非全日制研究生可参加学校组织的国际交流项目，费用自理，具体依据国家</w:t>
      </w:r>
      <w:r>
        <w:rPr>
          <w:spacing w:val="-1"/>
          <w:w w:val="99"/>
          <w:sz w:val="21"/>
        </w:rPr>
        <w:t>及学校的政策执行。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5" w:lineRule="auto"/>
        <w:ind w:left="784" w:right="356" w:hanging="425"/>
        <w:jc w:val="both"/>
        <w:rPr>
          <w:sz w:val="21"/>
        </w:rPr>
      </w:pPr>
      <w:r>
        <w:rPr>
          <w:b/>
          <w:spacing w:val="2"/>
          <w:w w:val="99"/>
          <w:sz w:val="21"/>
        </w:rPr>
        <w:t>就业：</w:t>
      </w:r>
      <w:r>
        <w:rPr>
          <w:spacing w:val="-1"/>
          <w:w w:val="99"/>
          <w:sz w:val="21"/>
        </w:rPr>
        <w:t>非全日制研究生的就业政策严格执行上海市相关政策。非全日制研究生毕业后,由学生自行解决就业问题，学校不发放三方协议及就业报到证。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right="357" w:hanging="425"/>
        <w:jc w:val="both"/>
        <w:rPr>
          <w:sz w:val="21"/>
        </w:rPr>
      </w:pPr>
      <w:r>
        <w:rPr>
          <w:spacing w:val="-6"/>
          <w:w w:val="99"/>
          <w:sz w:val="21"/>
        </w:rPr>
        <w:t>非全日制研究生就读期间，学校有关非全日制研究生学习方式、学籍及培养等规定</w:t>
      </w:r>
      <w:r>
        <w:rPr>
          <w:spacing w:val="-1"/>
          <w:w w:val="99"/>
          <w:sz w:val="21"/>
        </w:rPr>
        <w:t>（</w:t>
      </w:r>
      <w:r>
        <w:rPr>
          <w:w w:val="99"/>
          <w:sz w:val="21"/>
        </w:rPr>
        <w:t>包</w:t>
      </w:r>
      <w:r>
        <w:rPr>
          <w:spacing w:val="-4"/>
          <w:w w:val="99"/>
          <w:sz w:val="21"/>
        </w:rPr>
        <w:t>括但不局限于修订、新规定等</w:t>
      </w:r>
      <w:r>
        <w:rPr>
          <w:spacing w:val="-25"/>
          <w:w w:val="99"/>
          <w:sz w:val="21"/>
        </w:rPr>
        <w:t>）</w:t>
      </w:r>
      <w:r>
        <w:rPr>
          <w:spacing w:val="-6"/>
          <w:w w:val="99"/>
          <w:sz w:val="21"/>
        </w:rPr>
        <w:t>均视为有效，非全日制研究生需严格遵守。学校不负责</w:t>
      </w:r>
      <w:r>
        <w:rPr>
          <w:spacing w:val="-1"/>
          <w:w w:val="99"/>
          <w:sz w:val="21"/>
        </w:rPr>
        <w:t>培养以外的学生管理等各项事宜，亦不承担任何责任。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hanging="425"/>
        <w:jc w:val="both"/>
        <w:rPr>
          <w:sz w:val="21"/>
        </w:rPr>
      </w:pPr>
      <w:r>
        <w:rPr>
          <w:b/>
          <w:spacing w:val="-7"/>
          <w:w w:val="99"/>
          <w:sz w:val="21"/>
        </w:rPr>
        <w:t>其他培养环节：</w:t>
      </w:r>
      <w:r>
        <w:rPr>
          <w:spacing w:val="-3"/>
          <w:w w:val="99"/>
          <w:sz w:val="21"/>
        </w:rPr>
        <w:t>非全日制研究生在读期间可参加大学英语四六级考试、计算机等级考试</w:t>
      </w:r>
      <w:r>
        <w:rPr>
          <w:spacing w:val="-1"/>
          <w:w w:val="99"/>
          <w:sz w:val="21"/>
        </w:rPr>
        <w:t>以及学校组织的各类竞赛等。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line="357" w:lineRule="auto"/>
        <w:ind w:left="784" w:hanging="425"/>
        <w:jc w:val="both"/>
        <w:rPr>
          <w:sz w:val="21"/>
        </w:rPr>
      </w:pPr>
      <w:r>
        <w:rPr>
          <w:b/>
          <w:spacing w:val="2"/>
          <w:w w:val="99"/>
          <w:sz w:val="21"/>
        </w:rPr>
        <w:t>学制、学费：</w:t>
      </w:r>
      <w:r>
        <w:rPr>
          <w:spacing w:val="2"/>
          <w:w w:val="99"/>
          <w:sz w:val="21"/>
        </w:rPr>
        <w:t>各专业学制和学费情况见上海</w:t>
      </w:r>
      <w:r>
        <w:rPr>
          <w:rFonts w:hint="eastAsia"/>
          <w:spacing w:val="2"/>
          <w:w w:val="99"/>
          <w:sz w:val="21"/>
        </w:rPr>
        <w:t>电机学院</w:t>
      </w:r>
      <w:r>
        <w:rPr>
          <w:spacing w:val="2"/>
          <w:w w:val="99"/>
          <w:sz w:val="21"/>
        </w:rPr>
        <w:t>研究生</w:t>
      </w:r>
      <w:r>
        <w:rPr>
          <w:rFonts w:hint="eastAsia"/>
          <w:spacing w:val="2"/>
          <w:w w:val="99"/>
          <w:sz w:val="21"/>
        </w:rPr>
        <w:t>处网站</w:t>
      </w:r>
      <w:r>
        <w:rPr>
          <w:spacing w:val="2"/>
          <w:w w:val="99"/>
          <w:sz w:val="21"/>
        </w:rPr>
        <w:t>“</w:t>
      </w:r>
      <w:r>
        <w:rPr>
          <w:rFonts w:hint="eastAsia"/>
          <w:spacing w:val="2"/>
          <w:w w:val="99"/>
          <w:sz w:val="21"/>
        </w:rPr>
        <w:t>上海电机学院</w:t>
      </w:r>
      <w:r>
        <w:rPr>
          <w:spacing w:val="1"/>
          <w:w w:val="99"/>
          <w:sz w:val="21"/>
        </w:rPr>
        <w:t>2</w:t>
      </w:r>
      <w:r>
        <w:rPr>
          <w:spacing w:val="-2"/>
          <w:w w:val="99"/>
          <w:sz w:val="21"/>
        </w:rPr>
        <w:t>0</w:t>
      </w:r>
      <w:r>
        <w:rPr>
          <w:spacing w:val="1"/>
          <w:w w:val="99"/>
          <w:sz w:val="21"/>
        </w:rPr>
        <w:t>2</w:t>
      </w:r>
      <w:r>
        <w:rPr>
          <w:rFonts w:hint="eastAsia"/>
          <w:w w:val="99"/>
          <w:sz w:val="21"/>
          <w:lang w:val="en-US" w:eastAsia="zh-CN"/>
        </w:rPr>
        <w:t>4</w:t>
      </w:r>
      <w:r>
        <w:rPr>
          <w:spacing w:val="-52"/>
          <w:sz w:val="21"/>
        </w:rPr>
        <w:t xml:space="preserve"> </w:t>
      </w:r>
      <w:r>
        <w:rPr>
          <w:spacing w:val="1"/>
          <w:w w:val="99"/>
          <w:sz w:val="21"/>
        </w:rPr>
        <w:t>年硕士研究</w:t>
      </w:r>
      <w:r>
        <w:rPr>
          <w:spacing w:val="-11"/>
          <w:w w:val="99"/>
          <w:sz w:val="21"/>
        </w:rPr>
        <w:t>生</w:t>
      </w:r>
      <w:r>
        <w:rPr>
          <w:rFonts w:hint="eastAsia"/>
          <w:spacing w:val="-11"/>
          <w:w w:val="99"/>
          <w:sz w:val="21"/>
        </w:rPr>
        <w:t>招生简章</w:t>
      </w:r>
      <w:r>
        <w:rPr>
          <w:spacing w:val="-11"/>
          <w:w w:val="99"/>
          <w:sz w:val="21"/>
        </w:rPr>
        <w:t>”。</w:t>
      </w:r>
    </w:p>
    <w:p>
      <w:pPr>
        <w:pStyle w:val="9"/>
        <w:numPr>
          <w:ilvl w:val="0"/>
          <w:numId w:val="1"/>
        </w:numPr>
        <w:tabs>
          <w:tab w:val="left" w:pos="780"/>
        </w:tabs>
        <w:spacing w:before="121"/>
        <w:ind w:right="0"/>
        <w:rPr>
          <w:sz w:val="21"/>
        </w:rPr>
      </w:pPr>
      <w:r>
        <w:rPr>
          <w:spacing w:val="-1"/>
          <w:w w:val="95"/>
          <w:sz w:val="21"/>
        </w:rPr>
        <w:t>国家有关非</w:t>
      </w:r>
      <w:bookmarkStart w:id="0" w:name="_GoBack"/>
      <w:bookmarkEnd w:id="0"/>
      <w:r>
        <w:rPr>
          <w:spacing w:val="-1"/>
          <w:w w:val="95"/>
          <w:sz w:val="21"/>
        </w:rPr>
        <w:t>全日制研究生的管理要求，请根据自身情况登陆教育部官网查阅。</w:t>
      </w:r>
    </w:p>
    <w:sectPr>
      <w:pgSz w:w="11910" w:h="16840"/>
      <w:pgMar w:top="1480" w:right="1440" w:bottom="1160" w:left="144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w:pict>
        <v:shape id="docshape1" o:spid="_x0000_s2049" o:spt="202" type="#_x0000_t202" style="position:absolute;left:0pt;margin-left:292.3pt;margin-top:782.1pt;height:11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0" w:hanging="42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04" w:hanging="4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29" w:hanging="4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53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78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27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76" w:hanging="42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NhM2FjNGM5NzllODQ5ZDc4NDE2ODlmOWY4NGRmZmQifQ=="/>
  </w:docVars>
  <w:rsids>
    <w:rsidRoot w:val="00193D97"/>
    <w:rsid w:val="001142F9"/>
    <w:rsid w:val="00193D97"/>
    <w:rsid w:val="004E43BF"/>
    <w:rsid w:val="00833DEE"/>
    <w:rsid w:val="00875C9F"/>
    <w:rsid w:val="009A110A"/>
    <w:rsid w:val="00AE2D29"/>
    <w:rsid w:val="00CD3584"/>
    <w:rsid w:val="00FA5E2A"/>
    <w:rsid w:val="012313A8"/>
    <w:rsid w:val="01B14C06"/>
    <w:rsid w:val="0361620D"/>
    <w:rsid w:val="04AE7B23"/>
    <w:rsid w:val="053022E6"/>
    <w:rsid w:val="09A17C56"/>
    <w:rsid w:val="0CDD0FA5"/>
    <w:rsid w:val="0D2016A6"/>
    <w:rsid w:val="0D474670"/>
    <w:rsid w:val="0F824086"/>
    <w:rsid w:val="0FED7751"/>
    <w:rsid w:val="10282537"/>
    <w:rsid w:val="10BE10ED"/>
    <w:rsid w:val="11296757"/>
    <w:rsid w:val="114C66F9"/>
    <w:rsid w:val="119A56B6"/>
    <w:rsid w:val="13DF5603"/>
    <w:rsid w:val="13F15336"/>
    <w:rsid w:val="14004E57"/>
    <w:rsid w:val="14117786"/>
    <w:rsid w:val="14726477"/>
    <w:rsid w:val="153F0E72"/>
    <w:rsid w:val="16D50F3F"/>
    <w:rsid w:val="17D47448"/>
    <w:rsid w:val="186C142F"/>
    <w:rsid w:val="19020978"/>
    <w:rsid w:val="1C444B9D"/>
    <w:rsid w:val="1D570900"/>
    <w:rsid w:val="1DAB47A7"/>
    <w:rsid w:val="1DCB6BF8"/>
    <w:rsid w:val="1EC51899"/>
    <w:rsid w:val="1ED22B1C"/>
    <w:rsid w:val="1F354C71"/>
    <w:rsid w:val="1F621BE6"/>
    <w:rsid w:val="1F8E612F"/>
    <w:rsid w:val="20C242E2"/>
    <w:rsid w:val="219D08AB"/>
    <w:rsid w:val="236C6787"/>
    <w:rsid w:val="251175E6"/>
    <w:rsid w:val="2B430715"/>
    <w:rsid w:val="2CD05FD9"/>
    <w:rsid w:val="2CD930DF"/>
    <w:rsid w:val="2D614E83"/>
    <w:rsid w:val="2DC378EB"/>
    <w:rsid w:val="2E2A1718"/>
    <w:rsid w:val="2E7B1F74"/>
    <w:rsid w:val="2ECB20BA"/>
    <w:rsid w:val="2ED33B5E"/>
    <w:rsid w:val="324D6253"/>
    <w:rsid w:val="32594867"/>
    <w:rsid w:val="34677222"/>
    <w:rsid w:val="35170C48"/>
    <w:rsid w:val="3942200C"/>
    <w:rsid w:val="3B934DA1"/>
    <w:rsid w:val="3C335C3C"/>
    <w:rsid w:val="3D750231"/>
    <w:rsid w:val="3E0D0E3B"/>
    <w:rsid w:val="3E126451"/>
    <w:rsid w:val="3EC60FE9"/>
    <w:rsid w:val="3FEE6A4A"/>
    <w:rsid w:val="40EA5463"/>
    <w:rsid w:val="43776D56"/>
    <w:rsid w:val="43B9111D"/>
    <w:rsid w:val="43FE2FD4"/>
    <w:rsid w:val="49935F6C"/>
    <w:rsid w:val="4BED4059"/>
    <w:rsid w:val="4C6F2CC0"/>
    <w:rsid w:val="4C760341"/>
    <w:rsid w:val="4CF652A4"/>
    <w:rsid w:val="4DDA7481"/>
    <w:rsid w:val="4E031912"/>
    <w:rsid w:val="4E5263F6"/>
    <w:rsid w:val="4EE2777A"/>
    <w:rsid w:val="4F7F146C"/>
    <w:rsid w:val="516F72BF"/>
    <w:rsid w:val="51CA2E84"/>
    <w:rsid w:val="5325232B"/>
    <w:rsid w:val="549E4143"/>
    <w:rsid w:val="559F4616"/>
    <w:rsid w:val="56764C4B"/>
    <w:rsid w:val="5AB126F6"/>
    <w:rsid w:val="5C0F024E"/>
    <w:rsid w:val="5E7A79CF"/>
    <w:rsid w:val="5EF37781"/>
    <w:rsid w:val="5F16521D"/>
    <w:rsid w:val="61C64CD9"/>
    <w:rsid w:val="63E1229E"/>
    <w:rsid w:val="64852C29"/>
    <w:rsid w:val="64B41760"/>
    <w:rsid w:val="64E5191A"/>
    <w:rsid w:val="650E0E71"/>
    <w:rsid w:val="65FC516D"/>
    <w:rsid w:val="66482160"/>
    <w:rsid w:val="699658D9"/>
    <w:rsid w:val="6A8E78B0"/>
    <w:rsid w:val="6B0220BF"/>
    <w:rsid w:val="6C225202"/>
    <w:rsid w:val="6C7F08A6"/>
    <w:rsid w:val="6E6164B5"/>
    <w:rsid w:val="6EB64310"/>
    <w:rsid w:val="70F76C5D"/>
    <w:rsid w:val="710E6863"/>
    <w:rsid w:val="7137174F"/>
    <w:rsid w:val="74A54C22"/>
    <w:rsid w:val="74B82BA7"/>
    <w:rsid w:val="76F459ED"/>
    <w:rsid w:val="773B361B"/>
    <w:rsid w:val="774E15A1"/>
    <w:rsid w:val="79022643"/>
    <w:rsid w:val="7C1508DF"/>
    <w:rsid w:val="7E01736D"/>
    <w:rsid w:val="7F791185"/>
    <w:rsid w:val="7F7D2A23"/>
    <w:rsid w:val="7F80076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84" w:hanging="425"/>
    </w:pPr>
    <w:rPr>
      <w:sz w:val="21"/>
      <w:szCs w:val="21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35"/>
      <w:ind w:left="928"/>
    </w:pPr>
    <w:rPr>
      <w:b/>
      <w:bCs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784" w:right="355" w:hanging="425"/>
      <w:jc w:val="both"/>
    </w:p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7"/>
    <w:link w:val="4"/>
    <w:uiPriority w:val="0"/>
    <w:rPr>
      <w:rFonts w:ascii="宋体" w:hAnsi="宋体" w:cs="宋体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1201</Characters>
  <Lines>10</Lines>
  <Paragraphs>2</Paragraphs>
  <TotalTime>50</TotalTime>
  <ScaleCrop>false</ScaleCrop>
  <LinksUpToDate>false</LinksUpToDate>
  <CharactersWithSpaces>1409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2023-03-22T07:08:00Z</dcterms:created>
  <dc:creator>dngs</dc:creator>
  <cp:lastModifiedBy>永存</cp:lastModifiedBy>
  <dcterms:modified xsi:type="dcterms:W3CDTF">2024-03-04T08:39:53Z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0267FB0B14BF45F6A8E0D01D0170E7E6</vt:lpwstr>
  </property>
</Properties>
</file>